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2"/>
        <w:pageBreakBefore w:val="0"/>
        <w:pBdr>
          <w:top w:space="0" w:sz="0" w:val="nil"/>
          <w:left w:space="0" w:sz="0" w:val="nil"/>
          <w:bottom w:space="0" w:sz="0" w:val="nil"/>
          <w:right w:space="0" w:sz="0" w:val="nil"/>
          <w:between w:space="0" w:sz="0" w:val="nil"/>
        </w:pBdr>
        <w:shd w:fill="auto" w:val="clear"/>
        <w:spacing w:after="0" w:before="0" w:line="288" w:lineRule="auto"/>
        <w:rPr>
          <w:rFonts w:ascii="Open Sans" w:cs="Open Sans" w:eastAsia="Open Sans" w:hAnsi="Open Sans"/>
          <w:color w:val="695d46"/>
          <w:sz w:val="24"/>
          <w:szCs w:val="24"/>
        </w:rPr>
      </w:pPr>
      <w:bookmarkStart w:colFirst="0" w:colLast="0" w:name="_z6ne0og04bp5" w:id="0"/>
      <w:bookmarkEnd w:id="0"/>
      <w:r w:rsidDel="00000000" w:rsidR="00000000" w:rsidRPr="00000000">
        <w:rPr>
          <w:rFonts w:ascii="Open Sans" w:cs="Open Sans" w:eastAsia="Open Sans" w:hAnsi="Open Sans"/>
          <w:color w:val="695d46"/>
          <w:sz w:val="24"/>
          <w:szCs w:val="24"/>
          <w:rtl w:val="0"/>
        </w:rPr>
        <w:t xml:space="preserve"> </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pPr>
      <w:r w:rsidDel="00000000" w:rsidR="00000000" w:rsidRPr="00000000">
        <w:rPr/>
        <w:drawing>
          <wp:inline distB="114300" distT="114300" distL="114300" distR="114300">
            <wp:extent cx="6357938" cy="3532188"/>
            <wp:effectExtent b="0" l="0" r="0" t="0"/>
            <wp:docPr id="3"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6357938" cy="3532188"/>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Style w:val="Title"/>
        <w:pageBreakBefore w:val="0"/>
        <w:pBdr>
          <w:top w:space="0" w:sz="0" w:val="nil"/>
          <w:left w:space="0" w:sz="0" w:val="nil"/>
          <w:bottom w:space="0" w:sz="0" w:val="nil"/>
          <w:right w:space="0" w:sz="0" w:val="nil"/>
          <w:between w:space="0" w:sz="0" w:val="nil"/>
        </w:pBdr>
        <w:shd w:fill="auto" w:val="clear"/>
        <w:rPr/>
      </w:pPr>
      <w:bookmarkStart w:colFirst="0" w:colLast="0" w:name="_2gazcsgmxkub" w:id="1"/>
      <w:bookmarkEnd w:id="1"/>
      <w:r w:rsidDel="00000000" w:rsidR="00000000" w:rsidRPr="00000000">
        <w:rPr>
          <w:rtl w:val="0"/>
        </w:rPr>
        <w:t xml:space="preserve">Protège-gouttières</w:t>
      </w:r>
    </w:p>
    <w:p w:rsidR="00000000" w:rsidDel="00000000" w:rsidP="00000000" w:rsidRDefault="00000000" w:rsidRPr="00000000" w14:paraId="00000004">
      <w:pPr>
        <w:rPr>
          <w:sz w:val="36"/>
          <w:szCs w:val="36"/>
        </w:rPr>
      </w:pPr>
      <w:r w:rsidDel="00000000" w:rsidR="00000000" w:rsidRPr="00000000">
        <w:rPr>
          <w:sz w:val="36"/>
          <w:szCs w:val="36"/>
          <w:rtl w:val="0"/>
        </w:rPr>
        <w:t xml:space="preserve">Golden Guard est le produit que Solution T.D Inc utilise pour ces installations.</w:t>
      </w:r>
    </w:p>
    <w:p w:rsidR="00000000" w:rsidDel="00000000" w:rsidP="00000000" w:rsidRDefault="00000000" w:rsidRPr="00000000" w14:paraId="00000005">
      <w:pPr>
        <w:rPr>
          <w:sz w:val="36"/>
          <w:szCs w:val="36"/>
        </w:rPr>
      </w:pPr>
      <w:r w:rsidDel="00000000" w:rsidR="00000000" w:rsidRPr="00000000">
        <w:rPr>
          <w:rtl w:val="0"/>
        </w:rPr>
      </w:r>
    </w:p>
    <w:p w:rsidR="00000000" w:rsidDel="00000000" w:rsidP="00000000" w:rsidRDefault="00000000" w:rsidRPr="00000000" w14:paraId="00000006">
      <w:pPr>
        <w:pStyle w:val="Subtitle"/>
        <w:pageBreakBefore w:val="0"/>
        <w:rPr/>
      </w:pPr>
      <w:bookmarkStart w:colFirst="0" w:colLast="0" w:name="_2k3y408uq5v" w:id="2"/>
      <w:bookmarkEnd w:id="2"/>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after="1440" w:before="0" w:line="288" w:lineRule="auto"/>
        <w:rPr/>
      </w:pP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before="0" w:lineRule="auto"/>
        <w:rPr>
          <w:rFonts w:ascii="PT Sans Narrow" w:cs="PT Sans Narrow" w:eastAsia="PT Sans Narrow" w:hAnsi="PT Sans Narrow"/>
          <w:sz w:val="28"/>
          <w:szCs w:val="28"/>
        </w:rPr>
      </w:pPr>
      <w:r w:rsidDel="00000000" w:rsidR="00000000" w:rsidRPr="00000000">
        <w:rPr>
          <w:rFonts w:ascii="PT Sans Narrow" w:cs="PT Sans Narrow" w:eastAsia="PT Sans Narrow" w:hAnsi="PT Sans Narrow"/>
          <w:color w:val="008575"/>
          <w:sz w:val="32"/>
          <w:szCs w:val="32"/>
          <w:rtl w:val="0"/>
        </w:rPr>
        <w:t xml:space="preserve">Solution T.D Inc</w:t>
      </w: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before="0" w:lineRule="auto"/>
        <w:rPr>
          <w:rFonts w:ascii="PT Sans Narrow" w:cs="PT Sans Narrow" w:eastAsia="PT Sans Narrow" w:hAnsi="PT Sans Narrow"/>
          <w:sz w:val="28"/>
          <w:szCs w:val="28"/>
        </w:rPr>
      </w:pPr>
      <w:r w:rsidDel="00000000" w:rsidR="00000000" w:rsidRPr="00000000">
        <w:rPr>
          <w:rFonts w:ascii="PT Sans Narrow" w:cs="PT Sans Narrow" w:eastAsia="PT Sans Narrow" w:hAnsi="PT Sans Narrow"/>
          <w:sz w:val="28"/>
          <w:szCs w:val="28"/>
          <w:rtl w:val="0"/>
        </w:rPr>
        <w:t xml:space="preserve">1882 rue borduas</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before="0" w:lineRule="auto"/>
        <w:rPr>
          <w:rFonts w:ascii="PT Sans Narrow" w:cs="PT Sans Narrow" w:eastAsia="PT Sans Narrow" w:hAnsi="PT Sans Narrow"/>
          <w:sz w:val="28"/>
          <w:szCs w:val="28"/>
        </w:rPr>
      </w:pPr>
      <w:r w:rsidDel="00000000" w:rsidR="00000000" w:rsidRPr="00000000">
        <w:rPr>
          <w:rFonts w:ascii="PT Sans Narrow" w:cs="PT Sans Narrow" w:eastAsia="PT Sans Narrow" w:hAnsi="PT Sans Narrow"/>
          <w:sz w:val="28"/>
          <w:szCs w:val="28"/>
          <w:rtl w:val="0"/>
        </w:rPr>
        <w:t xml:space="preserve">Sainte-Julie</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before="0" w:lineRule="auto"/>
        <w:rPr>
          <w:rFonts w:ascii="PT Sans Narrow" w:cs="PT Sans Narrow" w:eastAsia="PT Sans Narrow" w:hAnsi="PT Sans Narrow"/>
          <w:sz w:val="28"/>
          <w:szCs w:val="28"/>
        </w:rPr>
      </w:pPr>
      <w:r w:rsidDel="00000000" w:rsidR="00000000" w:rsidRPr="00000000">
        <w:rPr>
          <w:rFonts w:ascii="PT Sans Narrow" w:cs="PT Sans Narrow" w:eastAsia="PT Sans Narrow" w:hAnsi="PT Sans Narrow"/>
          <w:sz w:val="28"/>
          <w:szCs w:val="28"/>
          <w:rtl w:val="0"/>
        </w:rPr>
        <w:t xml:space="preserve">Entretient.d1@gmail.com</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r>
    </w:p>
    <w:p w:rsidR="00000000" w:rsidDel="00000000" w:rsidP="00000000" w:rsidRDefault="00000000" w:rsidRPr="00000000" w14:paraId="0000000E">
      <w:pPr>
        <w:pStyle w:val="Heading1"/>
        <w:pageBreakBefore w:val="0"/>
        <w:pBdr>
          <w:top w:space="0" w:sz="0" w:val="nil"/>
          <w:left w:space="0" w:sz="0" w:val="nil"/>
          <w:bottom w:space="0" w:sz="0" w:val="nil"/>
          <w:right w:space="0" w:sz="0" w:val="nil"/>
          <w:between w:space="0" w:sz="0" w:val="nil"/>
        </w:pBdr>
        <w:shd w:fill="auto" w:val="clear"/>
        <w:rPr>
          <w:color w:val="00d4ff"/>
        </w:rPr>
      </w:pPr>
      <w:bookmarkStart w:colFirst="0" w:colLast="0" w:name="_4p7xi5bvhxdr" w:id="3"/>
      <w:bookmarkEnd w:id="3"/>
      <w:r w:rsidDel="00000000" w:rsidR="00000000" w:rsidRPr="00000000">
        <w:rPr>
          <w:color w:val="00d4ff"/>
          <w:rtl w:val="0"/>
        </w:rPr>
        <w:t xml:space="preserve">Produit</w:t>
      </w: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color w:val="231f20"/>
          <w:sz w:val="21"/>
          <w:szCs w:val="21"/>
          <w:highlight w:val="white"/>
          <w:rtl w:val="0"/>
        </w:rPr>
        <w:t xml:space="preserve">Le Golden Guard</w:t>
      </w:r>
      <w:r w:rsidDel="00000000" w:rsidR="00000000" w:rsidRPr="00000000">
        <w:rPr>
          <w:rFonts w:ascii="Arial" w:cs="Arial" w:eastAsia="Arial" w:hAnsi="Arial"/>
          <w:color w:val="231f20"/>
          <w:sz w:val="26"/>
          <w:szCs w:val="26"/>
          <w:highlight w:val="white"/>
          <w:vertAlign w:val="superscript"/>
          <w:rtl w:val="0"/>
        </w:rPr>
        <w:t xml:space="preserve">MC</w:t>
      </w:r>
      <w:r w:rsidDel="00000000" w:rsidR="00000000" w:rsidRPr="00000000">
        <w:rPr>
          <w:rFonts w:ascii="Arial" w:cs="Arial" w:eastAsia="Arial" w:hAnsi="Arial"/>
          <w:color w:val="231f20"/>
          <w:sz w:val="21"/>
          <w:szCs w:val="21"/>
          <w:highlight w:val="white"/>
          <w:rtl w:val="0"/>
        </w:rPr>
        <w:t xml:space="preserve"> est le système de protection de gouttières le plus efficace sur le marché. Sans un protège-gouttières, les feuilles et les débris bouchent la gouttière et empêchent l'eau de s'évacuer normalement. Lorsqu'il pleut, l'eau infiltrera la résidence puisqu'elle ne peut s'évacuer normalement. Avec le Golden Guard</w:t>
      </w:r>
      <w:r w:rsidDel="00000000" w:rsidR="00000000" w:rsidRPr="00000000">
        <w:rPr>
          <w:rFonts w:ascii="Arial" w:cs="Arial" w:eastAsia="Arial" w:hAnsi="Arial"/>
          <w:color w:val="231f20"/>
          <w:sz w:val="26"/>
          <w:szCs w:val="26"/>
          <w:highlight w:val="white"/>
          <w:vertAlign w:val="superscript"/>
          <w:rtl w:val="0"/>
        </w:rPr>
        <w:t xml:space="preserve">MC</w:t>
      </w:r>
      <w:r w:rsidDel="00000000" w:rsidR="00000000" w:rsidRPr="00000000">
        <w:rPr>
          <w:rFonts w:ascii="Arial" w:cs="Arial" w:eastAsia="Arial" w:hAnsi="Arial"/>
          <w:color w:val="231f20"/>
          <w:sz w:val="21"/>
          <w:szCs w:val="21"/>
          <w:highlight w:val="white"/>
          <w:rtl w:val="0"/>
        </w:rPr>
        <w:t xml:space="preserve">, les feuilles et les débris ne peuvent pas boucher la gouttière. L'eau s'évacue donc normalement, évitant les problèmes d'infiltration d'eau.</w:t>
      </w: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1">
      <w:pPr>
        <w:pStyle w:val="Heading1"/>
        <w:pageBreakBefore w:val="0"/>
        <w:pBdr>
          <w:top w:space="0" w:sz="0" w:val="nil"/>
          <w:left w:space="0" w:sz="0" w:val="nil"/>
          <w:bottom w:space="0" w:sz="0" w:val="nil"/>
          <w:right w:space="0" w:sz="0" w:val="nil"/>
          <w:between w:space="0" w:sz="0" w:val="nil"/>
        </w:pBdr>
        <w:shd w:fill="auto" w:val="clear"/>
        <w:rPr>
          <w:color w:val="00d4ff"/>
        </w:rPr>
      </w:pPr>
      <w:bookmarkStart w:colFirst="0" w:colLast="0" w:name="_yyrhu7ml5bea" w:id="4"/>
      <w:bookmarkEnd w:id="4"/>
      <w:r w:rsidDel="00000000" w:rsidR="00000000" w:rsidRPr="00000000">
        <w:rPr>
          <w:color w:val="00d4ff"/>
          <w:rtl w:val="0"/>
        </w:rPr>
        <w:t xml:space="preserve">Avantages</w:t>
      </w:r>
    </w:p>
    <w:p w:rsidR="00000000" w:rsidDel="00000000" w:rsidP="00000000" w:rsidRDefault="00000000" w:rsidRPr="00000000" w14:paraId="00000012">
      <w:pPr>
        <w:pageBreakBefore w:val="0"/>
        <w:numPr>
          <w:ilvl w:val="0"/>
          <w:numId w:val="3"/>
        </w:numPr>
        <w:pBdr>
          <w:top w:space="0" w:sz="0" w:val="nil"/>
          <w:left w:space="0" w:sz="0" w:val="nil"/>
          <w:bottom w:space="0" w:sz="0" w:val="nil"/>
          <w:right w:space="0" w:sz="0" w:val="nil"/>
          <w:between w:space="0" w:sz="0" w:val="nil"/>
        </w:pBdr>
        <w:shd w:fill="auto" w:val="clear"/>
        <w:ind w:left="1440" w:hanging="360"/>
        <w:rPr>
          <w:rFonts w:ascii="Arial" w:cs="Arial" w:eastAsia="Arial" w:hAnsi="Arial"/>
          <w:color w:val="231f20"/>
          <w:highlight w:val="white"/>
          <w:u w:val="none"/>
        </w:rPr>
      </w:pPr>
      <w:r w:rsidDel="00000000" w:rsidR="00000000" w:rsidRPr="00000000">
        <w:rPr>
          <w:rFonts w:ascii="Arial" w:cs="Arial" w:eastAsia="Arial" w:hAnsi="Arial"/>
          <w:color w:val="231f20"/>
          <w:sz w:val="21"/>
          <w:szCs w:val="21"/>
          <w:highlight w:val="white"/>
          <w:rtl w:val="0"/>
        </w:rPr>
        <w:t xml:space="preserve">Le Golden Guard</w:t>
      </w:r>
      <w:r w:rsidDel="00000000" w:rsidR="00000000" w:rsidRPr="00000000">
        <w:rPr>
          <w:rFonts w:ascii="Arial" w:cs="Arial" w:eastAsia="Arial" w:hAnsi="Arial"/>
          <w:color w:val="231f20"/>
          <w:sz w:val="26"/>
          <w:szCs w:val="26"/>
          <w:highlight w:val="white"/>
          <w:vertAlign w:val="superscript"/>
          <w:rtl w:val="0"/>
        </w:rPr>
        <w:t xml:space="preserve">MC</w:t>
      </w:r>
      <w:r w:rsidDel="00000000" w:rsidR="00000000" w:rsidRPr="00000000">
        <w:rPr>
          <w:rFonts w:ascii="Arial" w:cs="Arial" w:eastAsia="Arial" w:hAnsi="Arial"/>
          <w:color w:val="231f20"/>
          <w:sz w:val="21"/>
          <w:szCs w:val="21"/>
          <w:highlight w:val="white"/>
          <w:rtl w:val="0"/>
        </w:rPr>
        <w:t xml:space="preserve"> permet aux gouttières de fonctionner normalement pendant toute l'année. Une gouttière bouchée par la neige et la glace est non-fonctionnelle en hiver. Lors de pluies ou d'un redoux des températures, l'eau s'infiltrera dans la résidence puisqu'elle ne peut s'évacuer par la gouttière. Avec le Golden Guard</w:t>
      </w:r>
      <w:r w:rsidDel="00000000" w:rsidR="00000000" w:rsidRPr="00000000">
        <w:rPr>
          <w:rFonts w:ascii="Arial" w:cs="Arial" w:eastAsia="Arial" w:hAnsi="Arial"/>
          <w:color w:val="231f20"/>
          <w:sz w:val="26"/>
          <w:szCs w:val="26"/>
          <w:highlight w:val="white"/>
          <w:vertAlign w:val="superscript"/>
          <w:rtl w:val="0"/>
        </w:rPr>
        <w:t xml:space="preserve">MC</w:t>
      </w:r>
      <w:r w:rsidDel="00000000" w:rsidR="00000000" w:rsidRPr="00000000">
        <w:rPr>
          <w:rFonts w:ascii="Arial" w:cs="Arial" w:eastAsia="Arial" w:hAnsi="Arial"/>
          <w:color w:val="231f20"/>
          <w:sz w:val="21"/>
          <w:szCs w:val="21"/>
          <w:highlight w:val="white"/>
          <w:rtl w:val="0"/>
        </w:rPr>
        <w:t xml:space="preserve">, la neige et la glace reste sur le dessus du produit, conservant la gouttière fonctionnelle en tout temps. Lors de pluies ou d'un redoux des températures, l'eau est évacuée normalement par la gouttière.</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ind w:left="1440" w:firstLine="0"/>
        <w:rPr>
          <w:rFonts w:ascii="Arial" w:cs="Arial" w:eastAsia="Arial" w:hAnsi="Arial"/>
          <w:color w:val="231f20"/>
          <w:sz w:val="21"/>
          <w:szCs w:val="21"/>
          <w:highlight w:val="white"/>
        </w:rPr>
      </w:pPr>
      <w:r w:rsidDel="00000000" w:rsidR="00000000" w:rsidRPr="00000000">
        <w:rPr>
          <w:rtl w:val="0"/>
        </w:rPr>
      </w:r>
    </w:p>
    <w:p w:rsidR="00000000" w:rsidDel="00000000" w:rsidP="00000000" w:rsidRDefault="00000000" w:rsidRPr="00000000" w14:paraId="00000014">
      <w:pPr>
        <w:pageBreakBefore w:val="0"/>
        <w:numPr>
          <w:ilvl w:val="0"/>
          <w:numId w:val="3"/>
        </w:numPr>
        <w:pBdr>
          <w:top w:space="0" w:sz="0" w:val="nil"/>
          <w:left w:space="0" w:sz="0" w:val="nil"/>
          <w:bottom w:space="0" w:sz="0" w:val="nil"/>
          <w:right w:space="0" w:sz="0" w:val="nil"/>
          <w:between w:space="0" w:sz="0" w:val="nil"/>
        </w:pBdr>
        <w:shd w:fill="auto" w:val="clear"/>
        <w:ind w:left="1440" w:hanging="360"/>
        <w:rPr>
          <w:rFonts w:ascii="Arial" w:cs="Arial" w:eastAsia="Arial" w:hAnsi="Arial"/>
          <w:color w:val="231f20"/>
          <w:sz w:val="21"/>
          <w:szCs w:val="21"/>
          <w:highlight w:val="white"/>
          <w:u w:val="none"/>
        </w:rPr>
      </w:pPr>
      <w:r w:rsidDel="00000000" w:rsidR="00000000" w:rsidRPr="00000000">
        <w:rPr>
          <w:rFonts w:ascii="Arial" w:cs="Arial" w:eastAsia="Arial" w:hAnsi="Arial"/>
          <w:color w:val="231f20"/>
          <w:sz w:val="21"/>
          <w:szCs w:val="21"/>
          <w:highlight w:val="white"/>
          <w:rtl w:val="0"/>
        </w:rPr>
        <w:t xml:space="preserve">La neige, la glace et les débris peuvent déplacer les produits de moins bonne qualité. Ils devront être replacés jusqu'à plusieurs fois par année. Le Golden Guard</w:t>
      </w:r>
      <w:r w:rsidDel="00000000" w:rsidR="00000000" w:rsidRPr="00000000">
        <w:rPr>
          <w:rFonts w:ascii="Arial" w:cs="Arial" w:eastAsia="Arial" w:hAnsi="Arial"/>
          <w:color w:val="231f20"/>
          <w:sz w:val="26"/>
          <w:szCs w:val="26"/>
          <w:highlight w:val="white"/>
          <w:vertAlign w:val="superscript"/>
          <w:rtl w:val="0"/>
        </w:rPr>
        <w:t xml:space="preserve">MC</w:t>
      </w:r>
      <w:r w:rsidDel="00000000" w:rsidR="00000000" w:rsidRPr="00000000">
        <w:rPr>
          <w:rFonts w:ascii="Arial" w:cs="Arial" w:eastAsia="Arial" w:hAnsi="Arial"/>
          <w:color w:val="231f20"/>
          <w:sz w:val="21"/>
          <w:szCs w:val="21"/>
          <w:highlight w:val="white"/>
          <w:rtl w:val="0"/>
        </w:rPr>
        <w:t xml:space="preserve"> est fait d'aluminium résistant et est vissé à l'avant de la gouttière afin de s'assurer qu'il demeurera en place saison après saison. Le Golden Guard</w:t>
      </w:r>
      <w:r w:rsidDel="00000000" w:rsidR="00000000" w:rsidRPr="00000000">
        <w:rPr>
          <w:rFonts w:ascii="Arial" w:cs="Arial" w:eastAsia="Arial" w:hAnsi="Arial"/>
          <w:color w:val="231f20"/>
          <w:sz w:val="26"/>
          <w:szCs w:val="26"/>
          <w:highlight w:val="white"/>
          <w:vertAlign w:val="superscript"/>
          <w:rtl w:val="0"/>
        </w:rPr>
        <w:t xml:space="preserve">MC</w:t>
      </w:r>
      <w:r w:rsidDel="00000000" w:rsidR="00000000" w:rsidRPr="00000000">
        <w:rPr>
          <w:rFonts w:ascii="Arial" w:cs="Arial" w:eastAsia="Arial" w:hAnsi="Arial"/>
          <w:color w:val="231f20"/>
          <w:sz w:val="21"/>
          <w:szCs w:val="21"/>
          <w:highlight w:val="white"/>
          <w:rtl w:val="0"/>
        </w:rPr>
        <w:t xml:space="preserve"> ne rouillera pas, ne s'écaillera pas et est recyclable.</w:t>
      </w:r>
    </w:p>
    <w:p w:rsidR="00000000" w:rsidDel="00000000" w:rsidP="00000000" w:rsidRDefault="00000000" w:rsidRPr="00000000" w14:paraId="00000015">
      <w:pPr>
        <w:ind w:left="1440" w:firstLine="0"/>
        <w:rPr>
          <w:rFonts w:ascii="Arial" w:cs="Arial" w:eastAsia="Arial" w:hAnsi="Arial"/>
          <w:color w:val="231f20"/>
          <w:sz w:val="21"/>
          <w:szCs w:val="21"/>
          <w:highlight w:val="white"/>
        </w:rPr>
      </w:pPr>
      <w:r w:rsidDel="00000000" w:rsidR="00000000" w:rsidRPr="00000000">
        <w:rPr>
          <w:rFonts w:ascii="Arial" w:cs="Arial" w:eastAsia="Arial" w:hAnsi="Arial"/>
          <w:color w:val="231f20"/>
          <w:sz w:val="21"/>
          <w:szCs w:val="21"/>
          <w:highlight w:val="white"/>
          <w:rtl w:val="0"/>
        </w:rPr>
        <w:t xml:space="preserve">Le Golden Guard</w:t>
      </w:r>
      <w:r w:rsidDel="00000000" w:rsidR="00000000" w:rsidRPr="00000000">
        <w:rPr>
          <w:rFonts w:ascii="Arial" w:cs="Arial" w:eastAsia="Arial" w:hAnsi="Arial"/>
          <w:color w:val="231f20"/>
          <w:sz w:val="26"/>
          <w:szCs w:val="26"/>
          <w:highlight w:val="white"/>
          <w:vertAlign w:val="superscript"/>
          <w:rtl w:val="0"/>
        </w:rPr>
        <w:t xml:space="preserve">MC</w:t>
      </w:r>
      <w:r w:rsidDel="00000000" w:rsidR="00000000" w:rsidRPr="00000000">
        <w:rPr>
          <w:rFonts w:ascii="Arial" w:cs="Arial" w:eastAsia="Arial" w:hAnsi="Arial"/>
          <w:color w:val="231f20"/>
          <w:sz w:val="21"/>
          <w:szCs w:val="21"/>
          <w:highlight w:val="white"/>
          <w:rtl w:val="0"/>
        </w:rPr>
        <w:t xml:space="preserve"> peut drainer presque 3 fois plus d'eau que le plus gros orage jamais enregistré. Soyez vigilants aux autres produits ayant de plus gros trous. Ils permettent à une grande quantité de débris de pénétrer dans la gouttière.Les débris peuvent également demeurer coincés dans les autres produits. Les petits trous du Golden Guard</w:t>
      </w:r>
      <w:r w:rsidDel="00000000" w:rsidR="00000000" w:rsidRPr="00000000">
        <w:rPr>
          <w:rFonts w:ascii="Arial" w:cs="Arial" w:eastAsia="Arial" w:hAnsi="Arial"/>
          <w:color w:val="231f20"/>
          <w:sz w:val="26"/>
          <w:szCs w:val="26"/>
          <w:highlight w:val="white"/>
          <w:vertAlign w:val="superscript"/>
          <w:rtl w:val="0"/>
        </w:rPr>
        <w:t xml:space="preserve">MC</w:t>
      </w:r>
      <w:r w:rsidDel="00000000" w:rsidR="00000000" w:rsidRPr="00000000">
        <w:rPr>
          <w:rFonts w:ascii="Arial" w:cs="Arial" w:eastAsia="Arial" w:hAnsi="Arial"/>
          <w:color w:val="231f20"/>
          <w:sz w:val="21"/>
          <w:szCs w:val="21"/>
          <w:highlight w:val="white"/>
          <w:rtl w:val="0"/>
        </w:rPr>
        <w:t xml:space="preserve"> peuvent drainer efficacement tout orage sans jamais déborder.Aussi, la technologie Roll-Back</w:t>
      </w:r>
      <w:r w:rsidDel="00000000" w:rsidR="00000000" w:rsidRPr="00000000">
        <w:rPr>
          <w:rFonts w:ascii="Arial" w:cs="Arial" w:eastAsia="Arial" w:hAnsi="Arial"/>
          <w:color w:val="231f20"/>
          <w:sz w:val="26"/>
          <w:szCs w:val="26"/>
          <w:highlight w:val="white"/>
          <w:vertAlign w:val="superscript"/>
          <w:rtl w:val="0"/>
        </w:rPr>
        <w:t xml:space="preserve">MC</w:t>
      </w:r>
      <w:r w:rsidDel="00000000" w:rsidR="00000000" w:rsidRPr="00000000">
        <w:rPr>
          <w:rFonts w:ascii="Arial" w:cs="Arial" w:eastAsia="Arial" w:hAnsi="Arial"/>
          <w:color w:val="231f20"/>
          <w:sz w:val="21"/>
          <w:szCs w:val="21"/>
          <w:highlight w:val="white"/>
          <w:rtl w:val="0"/>
        </w:rPr>
        <w:t xml:space="preserve"> sur le Golden Guard</w:t>
      </w:r>
      <w:r w:rsidDel="00000000" w:rsidR="00000000" w:rsidRPr="00000000">
        <w:rPr>
          <w:rFonts w:ascii="Arial" w:cs="Arial" w:eastAsia="Arial" w:hAnsi="Arial"/>
          <w:color w:val="231f20"/>
          <w:sz w:val="26"/>
          <w:szCs w:val="26"/>
          <w:highlight w:val="white"/>
          <w:vertAlign w:val="superscript"/>
          <w:rtl w:val="0"/>
        </w:rPr>
        <w:t xml:space="preserve">MC</w:t>
      </w:r>
      <w:r w:rsidDel="00000000" w:rsidR="00000000" w:rsidRPr="00000000">
        <w:rPr>
          <w:rFonts w:ascii="Arial" w:cs="Arial" w:eastAsia="Arial" w:hAnsi="Arial"/>
          <w:color w:val="231f20"/>
          <w:sz w:val="21"/>
          <w:szCs w:val="21"/>
          <w:highlight w:val="white"/>
          <w:rtl w:val="0"/>
        </w:rPr>
        <w:t xml:space="preserve"> retient l'eau à l'intérieur de la gouttière lorsqu'une pluie abondante descend du toit.</w:t>
      </w:r>
    </w:p>
    <w:p w:rsidR="00000000" w:rsidDel="00000000" w:rsidP="00000000" w:rsidRDefault="00000000" w:rsidRPr="00000000" w14:paraId="00000016">
      <w:pPr>
        <w:ind w:left="720" w:firstLine="0"/>
        <w:rPr>
          <w:rFonts w:ascii="Arial" w:cs="Arial" w:eastAsia="Arial" w:hAnsi="Arial"/>
          <w:color w:val="231f20"/>
          <w:sz w:val="21"/>
          <w:szCs w:val="21"/>
          <w:highlight w:val="white"/>
        </w:rPr>
      </w:pPr>
      <w:r w:rsidDel="00000000" w:rsidR="00000000" w:rsidRPr="00000000">
        <w:rPr>
          <w:rtl w:val="0"/>
        </w:rPr>
      </w:r>
    </w:p>
    <w:p w:rsidR="00000000" w:rsidDel="00000000" w:rsidP="00000000" w:rsidRDefault="00000000" w:rsidRPr="00000000" w14:paraId="00000017">
      <w:pPr>
        <w:ind w:left="720" w:firstLine="0"/>
        <w:rPr>
          <w:rFonts w:ascii="Arial" w:cs="Arial" w:eastAsia="Arial" w:hAnsi="Arial"/>
          <w:color w:val="231f20"/>
          <w:sz w:val="21"/>
          <w:szCs w:val="21"/>
          <w:highlight w:val="white"/>
        </w:rPr>
      </w:pPr>
      <w:r w:rsidDel="00000000" w:rsidR="00000000" w:rsidRPr="00000000">
        <w:rPr>
          <w:rtl w:val="0"/>
        </w:rPr>
      </w:r>
    </w:p>
    <w:p w:rsidR="00000000" w:rsidDel="00000000" w:rsidP="00000000" w:rsidRDefault="00000000" w:rsidRPr="00000000" w14:paraId="00000018">
      <w:pPr>
        <w:ind w:left="720" w:firstLine="0"/>
        <w:rPr>
          <w:rFonts w:ascii="Arial" w:cs="Arial" w:eastAsia="Arial" w:hAnsi="Arial"/>
          <w:color w:val="231f20"/>
          <w:sz w:val="21"/>
          <w:szCs w:val="21"/>
          <w:highlight w:val="white"/>
        </w:rPr>
      </w:pPr>
      <w:r w:rsidDel="00000000" w:rsidR="00000000" w:rsidRPr="00000000">
        <w:rPr>
          <w:rtl w:val="0"/>
        </w:rPr>
      </w:r>
    </w:p>
    <w:p w:rsidR="00000000" w:rsidDel="00000000" w:rsidP="00000000" w:rsidRDefault="00000000" w:rsidRPr="00000000" w14:paraId="00000019">
      <w:pPr>
        <w:ind w:left="720" w:firstLine="0"/>
        <w:rPr>
          <w:rFonts w:ascii="Arial" w:cs="Arial" w:eastAsia="Arial" w:hAnsi="Arial"/>
          <w:color w:val="231f20"/>
          <w:sz w:val="21"/>
          <w:szCs w:val="21"/>
          <w:highlight w:val="white"/>
        </w:rPr>
      </w:pPr>
      <w:r w:rsidDel="00000000" w:rsidR="00000000" w:rsidRPr="00000000">
        <w:rPr>
          <w:rtl w:val="0"/>
        </w:rPr>
      </w:r>
    </w:p>
    <w:p w:rsidR="00000000" w:rsidDel="00000000" w:rsidP="00000000" w:rsidRDefault="00000000" w:rsidRPr="00000000" w14:paraId="0000001A">
      <w:pPr>
        <w:pStyle w:val="Heading1"/>
        <w:rPr>
          <w:rFonts w:ascii="Arial" w:cs="Arial" w:eastAsia="Arial" w:hAnsi="Arial"/>
          <w:color w:val="00d4ff"/>
          <w:sz w:val="21"/>
          <w:szCs w:val="21"/>
          <w:highlight w:val="white"/>
        </w:rPr>
      </w:pPr>
      <w:bookmarkStart w:colFirst="0" w:colLast="0" w:name="_6yvid245zcyg" w:id="5"/>
      <w:bookmarkEnd w:id="5"/>
      <w:r w:rsidDel="00000000" w:rsidR="00000000" w:rsidRPr="00000000">
        <w:rPr>
          <w:color w:val="00d4ff"/>
          <w:rtl w:val="0"/>
        </w:rPr>
        <w:t xml:space="preserve">Avantages(suites)</w:t>
      </w:r>
      <w:r w:rsidDel="00000000" w:rsidR="00000000" w:rsidRPr="00000000">
        <w:rPr>
          <w:rtl w:val="0"/>
        </w:rPr>
      </w:r>
    </w:p>
    <w:p w:rsidR="00000000" w:rsidDel="00000000" w:rsidP="00000000" w:rsidRDefault="00000000" w:rsidRPr="00000000" w14:paraId="0000001B">
      <w:pPr>
        <w:numPr>
          <w:ilvl w:val="0"/>
          <w:numId w:val="1"/>
        </w:numPr>
        <w:ind w:left="1440" w:hanging="360"/>
        <w:rPr>
          <w:rFonts w:ascii="Arial" w:cs="Arial" w:eastAsia="Arial" w:hAnsi="Arial"/>
          <w:color w:val="231f20"/>
          <w:highlight w:val="white"/>
          <w:u w:val="none"/>
        </w:rPr>
      </w:pPr>
      <w:r w:rsidDel="00000000" w:rsidR="00000000" w:rsidRPr="00000000">
        <w:rPr>
          <w:rFonts w:ascii="Arial" w:cs="Arial" w:eastAsia="Arial" w:hAnsi="Arial"/>
          <w:color w:val="231f20"/>
          <w:sz w:val="21"/>
          <w:szCs w:val="21"/>
          <w:highlight w:val="white"/>
          <w:rtl w:val="0"/>
        </w:rPr>
        <w:t xml:space="preserve">Le Golden Guard</w:t>
      </w:r>
      <w:r w:rsidDel="00000000" w:rsidR="00000000" w:rsidRPr="00000000">
        <w:rPr>
          <w:rFonts w:ascii="Arial" w:cs="Arial" w:eastAsia="Arial" w:hAnsi="Arial"/>
          <w:color w:val="231f20"/>
          <w:sz w:val="26"/>
          <w:szCs w:val="26"/>
          <w:highlight w:val="white"/>
          <w:vertAlign w:val="superscript"/>
          <w:rtl w:val="0"/>
        </w:rPr>
        <w:t xml:space="preserve">MC</w:t>
      </w:r>
      <w:r w:rsidDel="00000000" w:rsidR="00000000" w:rsidRPr="00000000">
        <w:rPr>
          <w:rFonts w:ascii="Arial" w:cs="Arial" w:eastAsia="Arial" w:hAnsi="Arial"/>
          <w:color w:val="231f20"/>
          <w:sz w:val="21"/>
          <w:szCs w:val="21"/>
          <w:highlight w:val="white"/>
          <w:rtl w:val="0"/>
        </w:rPr>
        <w:t xml:space="preserve"> est muni de la technologie Flex-Seal</w:t>
      </w:r>
      <w:r w:rsidDel="00000000" w:rsidR="00000000" w:rsidRPr="00000000">
        <w:rPr>
          <w:rFonts w:ascii="Arial" w:cs="Arial" w:eastAsia="Arial" w:hAnsi="Arial"/>
          <w:color w:val="231f20"/>
          <w:sz w:val="26"/>
          <w:szCs w:val="26"/>
          <w:highlight w:val="white"/>
          <w:vertAlign w:val="superscript"/>
          <w:rtl w:val="0"/>
        </w:rPr>
        <w:t xml:space="preserve">MC</w:t>
      </w:r>
      <w:r w:rsidDel="00000000" w:rsidR="00000000" w:rsidRPr="00000000">
        <w:rPr>
          <w:rFonts w:ascii="Arial" w:cs="Arial" w:eastAsia="Arial" w:hAnsi="Arial"/>
          <w:color w:val="231f20"/>
          <w:sz w:val="21"/>
          <w:szCs w:val="21"/>
          <w:highlight w:val="white"/>
          <w:rtl w:val="0"/>
        </w:rPr>
        <w:t xml:space="preserve">, une bande de plastique unique et brevetée qui scelle parfaitement l'arrière de la gouttière.L'avant du produit est vissé à la gouttière empêchant ainsi les débris de pénétrer.Finalement, chaque section de produit et de coin est chevauchée de façon parfaitement scellée afin d'empêcher les débris de passer.</w:t>
      </w:r>
    </w:p>
    <w:p w:rsidR="00000000" w:rsidDel="00000000" w:rsidP="00000000" w:rsidRDefault="00000000" w:rsidRPr="00000000" w14:paraId="0000001C">
      <w:pPr>
        <w:rPr>
          <w:rFonts w:ascii="Arial" w:cs="Arial" w:eastAsia="Arial" w:hAnsi="Arial"/>
          <w:color w:val="231f20"/>
          <w:sz w:val="21"/>
          <w:szCs w:val="21"/>
          <w:highlight w:val="white"/>
        </w:rPr>
      </w:pPr>
      <w:r w:rsidDel="00000000" w:rsidR="00000000" w:rsidRPr="00000000">
        <w:rPr>
          <w:rtl w:val="0"/>
        </w:rPr>
      </w:r>
    </w:p>
    <w:p w:rsidR="00000000" w:rsidDel="00000000" w:rsidP="00000000" w:rsidRDefault="00000000" w:rsidRPr="00000000" w14:paraId="0000001D">
      <w:pPr>
        <w:rPr>
          <w:rFonts w:ascii="Arial" w:cs="Arial" w:eastAsia="Arial" w:hAnsi="Arial"/>
          <w:color w:val="231f20"/>
          <w:sz w:val="21"/>
          <w:szCs w:val="21"/>
          <w:highlight w:val="white"/>
        </w:rPr>
      </w:pPr>
      <w:r w:rsidDel="00000000" w:rsidR="00000000" w:rsidRPr="00000000">
        <w:rPr>
          <w:rtl w:val="0"/>
        </w:rPr>
      </w:r>
    </w:p>
    <w:p w:rsidR="00000000" w:rsidDel="00000000" w:rsidP="00000000" w:rsidRDefault="00000000" w:rsidRPr="00000000" w14:paraId="0000001E">
      <w:pPr>
        <w:pStyle w:val="Heading1"/>
        <w:rPr>
          <w:color w:val="00d4ff"/>
        </w:rPr>
      </w:pPr>
      <w:bookmarkStart w:colFirst="0" w:colLast="0" w:name="_8twc9m4nemos" w:id="6"/>
      <w:bookmarkEnd w:id="6"/>
      <w:r w:rsidDel="00000000" w:rsidR="00000000" w:rsidRPr="00000000">
        <w:rPr>
          <w:color w:val="00d4ff"/>
          <w:rtl w:val="0"/>
        </w:rPr>
        <w:t xml:space="preserve">Caractéristique</w:t>
      </w:r>
    </w:p>
    <w:p w:rsidR="00000000" w:rsidDel="00000000" w:rsidP="00000000" w:rsidRDefault="00000000" w:rsidRPr="00000000" w14:paraId="0000001F">
      <w:pPr>
        <w:numPr>
          <w:ilvl w:val="0"/>
          <w:numId w:val="2"/>
        </w:numPr>
        <w:ind w:left="720" w:hanging="360"/>
        <w:rPr>
          <w:u w:val="none"/>
        </w:rPr>
      </w:pPr>
      <w:r w:rsidDel="00000000" w:rsidR="00000000" w:rsidRPr="00000000">
        <w:rPr>
          <w:rFonts w:ascii="Arial" w:cs="Arial" w:eastAsia="Arial" w:hAnsi="Arial"/>
          <w:color w:val="231f20"/>
          <w:sz w:val="21"/>
          <w:szCs w:val="21"/>
          <w:highlight w:val="white"/>
          <w:rtl w:val="0"/>
        </w:rPr>
        <w:t xml:space="preserve">Le Golden Guard</w:t>
      </w:r>
      <w:r w:rsidDel="00000000" w:rsidR="00000000" w:rsidRPr="00000000">
        <w:rPr>
          <w:rFonts w:ascii="Arial" w:cs="Arial" w:eastAsia="Arial" w:hAnsi="Arial"/>
          <w:color w:val="231f20"/>
          <w:sz w:val="26"/>
          <w:szCs w:val="26"/>
          <w:highlight w:val="white"/>
          <w:vertAlign w:val="superscript"/>
          <w:rtl w:val="0"/>
        </w:rPr>
        <w:t xml:space="preserve">MC</w:t>
      </w:r>
      <w:r w:rsidDel="00000000" w:rsidR="00000000" w:rsidRPr="00000000">
        <w:rPr>
          <w:rFonts w:ascii="Arial" w:cs="Arial" w:eastAsia="Arial" w:hAnsi="Arial"/>
          <w:color w:val="231f20"/>
          <w:sz w:val="21"/>
          <w:szCs w:val="21"/>
          <w:highlight w:val="white"/>
          <w:rtl w:val="0"/>
        </w:rPr>
        <w:t xml:space="preserve"> est fait d'aluminium résistant et est vissé à l'avant de la gouttière afin de s'assurer qu'il demeurera en place saison après saison. Le Golden Guard</w:t>
      </w:r>
      <w:r w:rsidDel="00000000" w:rsidR="00000000" w:rsidRPr="00000000">
        <w:rPr>
          <w:rFonts w:ascii="Arial" w:cs="Arial" w:eastAsia="Arial" w:hAnsi="Arial"/>
          <w:color w:val="231f20"/>
          <w:sz w:val="26"/>
          <w:szCs w:val="26"/>
          <w:highlight w:val="white"/>
          <w:vertAlign w:val="superscript"/>
          <w:rtl w:val="0"/>
        </w:rPr>
        <w:t xml:space="preserve">MC</w:t>
      </w:r>
      <w:r w:rsidDel="00000000" w:rsidR="00000000" w:rsidRPr="00000000">
        <w:rPr>
          <w:rFonts w:ascii="Arial" w:cs="Arial" w:eastAsia="Arial" w:hAnsi="Arial"/>
          <w:color w:val="231f20"/>
          <w:sz w:val="21"/>
          <w:szCs w:val="21"/>
          <w:highlight w:val="white"/>
          <w:rtl w:val="0"/>
        </w:rPr>
        <w:t xml:space="preserve"> ne rouillera pas, ne s'écaillera pas et est recyclable.</w:t>
      </w:r>
    </w:p>
    <w:p w:rsidR="00000000" w:rsidDel="00000000" w:rsidP="00000000" w:rsidRDefault="00000000" w:rsidRPr="00000000" w14:paraId="00000020">
      <w:pPr>
        <w:rPr>
          <w:rFonts w:ascii="Arial" w:cs="Arial" w:eastAsia="Arial" w:hAnsi="Arial"/>
          <w:color w:val="231f20"/>
          <w:sz w:val="21"/>
          <w:szCs w:val="21"/>
          <w:highlight w:val="white"/>
        </w:rPr>
      </w:pPr>
      <w:r w:rsidDel="00000000" w:rsidR="00000000" w:rsidRPr="00000000">
        <w:rPr>
          <w:rtl w:val="0"/>
        </w:rPr>
      </w:r>
    </w:p>
    <w:p w:rsidR="00000000" w:rsidDel="00000000" w:rsidP="00000000" w:rsidRDefault="00000000" w:rsidRPr="00000000" w14:paraId="00000021">
      <w:pPr>
        <w:rPr>
          <w:rFonts w:ascii="Arial" w:cs="Arial" w:eastAsia="Arial" w:hAnsi="Arial"/>
          <w:color w:val="231f20"/>
          <w:sz w:val="21"/>
          <w:szCs w:val="21"/>
          <w:highlight w:val="white"/>
        </w:rPr>
      </w:pPr>
      <w:r w:rsidDel="00000000" w:rsidR="00000000" w:rsidRPr="00000000">
        <w:rPr>
          <w:rtl w:val="0"/>
        </w:rPr>
      </w:r>
    </w:p>
    <w:p w:rsidR="00000000" w:rsidDel="00000000" w:rsidP="00000000" w:rsidRDefault="00000000" w:rsidRPr="00000000" w14:paraId="00000022">
      <w:pPr>
        <w:rPr>
          <w:rFonts w:ascii="Arial" w:cs="Arial" w:eastAsia="Arial" w:hAnsi="Arial"/>
          <w:color w:val="231f20"/>
          <w:sz w:val="21"/>
          <w:szCs w:val="21"/>
          <w:highlight w:val="white"/>
        </w:rPr>
      </w:pPr>
      <w:r w:rsidDel="00000000" w:rsidR="00000000" w:rsidRPr="00000000">
        <w:rPr>
          <w:rtl w:val="0"/>
        </w:rPr>
      </w:r>
    </w:p>
    <w:p w:rsidR="00000000" w:rsidDel="00000000" w:rsidP="00000000" w:rsidRDefault="00000000" w:rsidRPr="00000000" w14:paraId="00000023">
      <w:pPr>
        <w:rPr>
          <w:rFonts w:ascii="Arial" w:cs="Arial" w:eastAsia="Arial" w:hAnsi="Arial"/>
          <w:color w:val="231f20"/>
          <w:sz w:val="21"/>
          <w:szCs w:val="21"/>
          <w:highlight w:val="white"/>
        </w:rPr>
      </w:pPr>
      <w:r w:rsidDel="00000000" w:rsidR="00000000" w:rsidRPr="00000000">
        <w:rPr>
          <w:rtl w:val="0"/>
        </w:rPr>
      </w:r>
    </w:p>
    <w:p w:rsidR="00000000" w:rsidDel="00000000" w:rsidP="00000000" w:rsidRDefault="00000000" w:rsidRPr="00000000" w14:paraId="00000024">
      <w:pPr>
        <w:pStyle w:val="Heading1"/>
        <w:rPr/>
      </w:pPr>
      <w:bookmarkStart w:colFirst="0" w:colLast="0" w:name="_aag1xvkbplms" w:id="7"/>
      <w:bookmarkEnd w:id="7"/>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1080" w:top="1080" w:left="1440" w:right="1440" w:header="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Arial"/>
  <w:font w:name="PT Sans Narrow">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rPr>
        <w:rFonts w:ascii="Arial" w:cs="Arial" w:eastAsia="Arial" w:hAnsi="Arial"/>
        <w:color w:val="231f20"/>
        <w:sz w:val="18"/>
        <w:szCs w:val="18"/>
      </w:rPr>
    </w:pPr>
    <w:r w:rsidDel="00000000" w:rsidR="00000000" w:rsidRPr="00000000">
      <w:rPr>
        <w:sz w:val="14"/>
        <w:szCs w:val="14"/>
        <w:rtl w:val="0"/>
      </w:rPr>
      <w:t xml:space="preserve">Les informations et images présentent sur cette page n’appartiennent pas à Solution T.D Inc, elles appartiennent à la compagnie </w:t>
    </w:r>
    <w:r w:rsidDel="00000000" w:rsidR="00000000" w:rsidRPr="00000000">
      <w:rPr>
        <w:rFonts w:ascii="Arial" w:cs="Arial" w:eastAsia="Arial" w:hAnsi="Arial"/>
        <w:color w:val="231f20"/>
        <w:sz w:val="18"/>
        <w:szCs w:val="18"/>
        <w:rtl w:val="0"/>
      </w:rPr>
      <w:t xml:space="preserve">Alu-Rex.</w:t>
    </w:r>
  </w:p>
  <w:p w:rsidR="00000000" w:rsidDel="00000000" w:rsidP="00000000" w:rsidRDefault="00000000" w:rsidRPr="00000000" w14:paraId="0000003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pStyle w:val="Subtitle"/>
      <w:pageBreakBefore w:val="0"/>
      <w:pBdr>
        <w:top w:space="0" w:sz="0" w:val="nil"/>
        <w:left w:space="0" w:sz="0" w:val="nil"/>
        <w:bottom w:space="0" w:sz="0" w:val="nil"/>
        <w:right w:space="0" w:sz="0" w:val="nil"/>
        <w:between w:space="0" w:sz="0" w:val="nil"/>
      </w:pBdr>
      <w:shd w:fill="auto" w:val="clear"/>
      <w:spacing w:before="600" w:lineRule="auto"/>
      <w:ind w:right="0"/>
      <w:jc w:val="right"/>
      <w:rPr/>
    </w:pPr>
    <w:bookmarkStart w:colFirst="0" w:colLast="0" w:name="_9nvcibv3gama" w:id="8"/>
    <w:bookmarkEnd w:id="8"/>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5781675</wp:posOffset>
          </wp:positionH>
          <wp:positionV relativeFrom="paragraph">
            <wp:posOffset>47626</wp:posOffset>
          </wp:positionV>
          <wp:extent cx="987575" cy="785813"/>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87575" cy="785813"/>
                  </a:xfrm>
                  <a:prstGeom prst="rect"/>
                  <a:ln/>
                </pic:spPr>
              </pic:pic>
            </a:graphicData>
          </a:graphic>
        </wp:anchor>
      </w:drawing>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after="200"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pStyle w:val="Heading2"/>
      <w:spacing w:before="600" w:line="288" w:lineRule="auto"/>
      <w:rPr/>
    </w:pPr>
    <w:bookmarkStart w:colFirst="0" w:colLast="0" w:name="_5ye4bjilzwyg" w:id="9"/>
    <w:bookmarkEnd w:id="9"/>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5886450</wp:posOffset>
          </wp:positionH>
          <wp:positionV relativeFrom="paragraph">
            <wp:posOffset>47626</wp:posOffset>
          </wp:positionV>
          <wp:extent cx="987575" cy="785813"/>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87575" cy="78581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Open Sans" w:cs="Open Sans" w:eastAsia="Open Sans" w:hAnsi="Open Sans"/>
        <w:color w:val="695d46"/>
        <w:sz w:val="22"/>
        <w:szCs w:val="22"/>
        <w:lang w:val="fr"/>
      </w:rPr>
    </w:rPrDefault>
    <w:pPrDefault>
      <w:pPr>
        <w:spacing w:before="120" w:line="288"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spacing w:before="480" w:line="312" w:lineRule="auto"/>
    </w:pPr>
    <w:rPr>
      <w:rFonts w:ascii="PT Sans Narrow" w:cs="PT Sans Narrow" w:eastAsia="PT Sans Narrow" w:hAnsi="PT Sans Narrow"/>
      <w:b w:val="1"/>
      <w:color w:val="ff5e0e"/>
      <w:sz w:val="36"/>
      <w:szCs w:val="36"/>
    </w:rPr>
  </w:style>
  <w:style w:type="paragraph" w:styleId="Heading2">
    <w:name w:val="heading 2"/>
    <w:basedOn w:val="Normal"/>
    <w:next w:val="Normal"/>
    <w:pPr>
      <w:pageBreakBefore w:val="0"/>
      <w:spacing w:before="320" w:line="240" w:lineRule="auto"/>
    </w:pPr>
    <w:rPr>
      <w:rFonts w:ascii="PT Sans Narrow" w:cs="PT Sans Narrow" w:eastAsia="PT Sans Narrow" w:hAnsi="PT Sans Narrow"/>
      <w:color w:val="008575"/>
      <w:sz w:val="32"/>
      <w:szCs w:val="32"/>
    </w:rPr>
  </w:style>
  <w:style w:type="paragraph" w:styleId="Heading3">
    <w:name w:val="heading 3"/>
    <w:basedOn w:val="Normal"/>
    <w:next w:val="Normal"/>
    <w:pPr>
      <w:pageBreakBefore w:val="0"/>
      <w:spacing w:before="200" w:line="240" w:lineRule="auto"/>
    </w:pPr>
    <w:rPr>
      <w:rFonts w:ascii="PT Sans Narrow" w:cs="PT Sans Narrow" w:eastAsia="PT Sans Narrow" w:hAnsi="PT Sans Narrow"/>
      <w:sz w:val="28"/>
      <w:szCs w:val="28"/>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pageBreakBefore w:val="0"/>
      <w:spacing w:before="320" w:line="240" w:lineRule="auto"/>
    </w:pPr>
    <w:rPr>
      <w:rFonts w:ascii="PT Sans Narrow" w:cs="PT Sans Narrow" w:eastAsia="PT Sans Narrow" w:hAnsi="PT Sans Narrow"/>
      <w:b w:val="1"/>
      <w:sz w:val="84"/>
      <w:szCs w:val="84"/>
    </w:rPr>
  </w:style>
  <w:style w:type="paragraph" w:styleId="Subtitle">
    <w:name w:val="Subtitle"/>
    <w:basedOn w:val="Normal"/>
    <w:next w:val="Normal"/>
    <w:pPr>
      <w:pageBreakBefore w:val="0"/>
      <w:spacing w:before="200" w:line="240" w:lineRule="auto"/>
    </w:pPr>
    <w:rPr>
      <w:rFonts w:ascii="PT Sans Narrow" w:cs="PT Sans Narrow" w:eastAsia="PT Sans Narrow" w:hAnsi="PT Sans Narrow"/>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TSansNarrow-regular.ttf"/><Relationship Id="rId2" Type="http://schemas.openxmlformats.org/officeDocument/2006/relationships/font" Target="fonts/PTSansNarrow-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